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58"/>
        <w:numPr>
          <w:ilvl w:val="0"/>
          <w:numId w:val="0"/>
        </w:numPr>
        <w:ind w:left="1134" w:firstLine="0"/>
        <w:rPr>
          <w:rFonts w:cs="Times New Roman"/>
        </w:rPr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>
        <w:rPr>
          <w:rFonts w:cs="Times New Roman"/>
        </w:rPr>
        <w:t xml:space="preserve">Приложение № 11 </w:t>
      </w:r>
      <w:bookmarkEnd w:id="0"/>
      <w:r>
        <w:rPr>
          <w:rFonts w:cs="Times New Roman"/>
        </w:rPr>
        <w:t xml:space="preserve">– форма Данных бухгалтерской (финансовой) отчетности</w:t>
      </w:r>
      <w:bookmarkEnd w:id="0"/>
      <w:r/>
      <w:bookmarkEnd w:id="0"/>
      <w:r/>
      <w:bookmarkEnd w:id="0"/>
      <w:r/>
      <w:bookmarkEnd w:id="0"/>
      <w:r/>
      <w:bookmarkEnd w:id="0"/>
      <w:r/>
      <w:bookmarkEnd w:id="0"/>
      <w:r>
        <w:rPr>
          <w:rFonts w:cs="Times New Roman"/>
        </w:rPr>
      </w:r>
      <w:r>
        <w:rPr>
          <w:rFonts w:cs="Times New Roman"/>
        </w:rPr>
      </w:r>
    </w:p>
    <w:p>
      <w:pPr>
        <w:pStyle w:val="758"/>
        <w:numPr>
          <w:ilvl w:val="0"/>
          <w:numId w:val="0"/>
        </w:numPr>
        <w:ind w:left="1134"/>
        <w:pageBreakBefore w:val="0"/>
        <w:spacing w:after="120"/>
        <w:rPr>
          <w:caps w:val="0"/>
        </w:rPr>
      </w:pPr>
      <w:r>
        <w:rPr>
          <w:caps w:val="0"/>
          <w:highlight w:val="none"/>
        </w:rPr>
      </w:r>
      <w:r>
        <w:rPr>
          <w:caps w:val="0"/>
          <w:highlight w:val="none"/>
        </w:rPr>
      </w:r>
    </w:p>
    <w:p>
      <w:pPr>
        <w:pStyle w:val="758"/>
        <w:numPr>
          <w:ilvl w:val="0"/>
          <w:numId w:val="0"/>
        </w:numPr>
        <w:ind w:left="1134"/>
        <w:pageBreakBefore w:val="0"/>
        <w:spacing w:after="120"/>
        <w:rPr>
          <w:caps w:val="0"/>
          <w:highlight w:val="none"/>
        </w:rPr>
      </w:pPr>
      <w:r/>
      <w:bookmarkStart w:id="0" w:name="_Hlk207294197"/>
      <w:r/>
      <w:bookmarkStart w:id="1" w:name="_Hlk207796404"/>
      <w:r>
        <w:rPr>
          <w:caps w:val="0"/>
        </w:rPr>
        <w:t xml:space="preserve">Инструкции по заполнению </w:t>
      </w:r>
      <w:r>
        <w:rPr>
          <w:caps w:val="0"/>
          <w:highlight w:val="none"/>
        </w:rPr>
      </w:r>
    </w:p>
    <w:p>
      <w:pPr>
        <w:pStyle w:val="758"/>
        <w:pageBreakBefore w:val="0"/>
        <w:spacing w:after="120"/>
        <w:rPr>
          <w:b w:val="0"/>
          <w:bCs w:val="0"/>
          <w:caps w:val="0"/>
        </w:rPr>
      </w:pPr>
      <w:r>
        <w:rPr>
          <w:bCs w:val="0"/>
          <w:caps w:val="0"/>
        </w:rPr>
        <w:t xml:space="preserve">В случае если Участник заинтересован в дополнительной оценке его финансового состояния</w:t>
      </w:r>
      <w:r>
        <w:rPr>
          <w:b w:val="0"/>
          <w:bCs w:val="0"/>
          <w:caps w:val="0"/>
        </w:rPr>
        <w:t xml:space="preserve"> (</w:t>
      </w:r>
      <w:r>
        <w:rPr>
          <w:b w:val="0"/>
          <w:bCs w:val="0"/>
          <w:caps w:val="0"/>
        </w:rPr>
        <w:t xml:space="preserve">подраздел 8.2, пункт 1</w:t>
      </w:r>
      <w:r>
        <w:rPr>
          <w:b w:val="0"/>
          <w:bCs w:val="0"/>
          <w:caps w:val="0"/>
        </w:rPr>
        <w:t xml:space="preserve">), но в соответствии с законодательством формирует отчетность по формам ОКУД 0503730, 0503721 (и/или освобожден от предоставления дополнительного экземпляра бухгалтерской (финансовой) отчетности в государственном информационном ресурсе (</w:t>
      </w:r>
      <w:hyperlink r:id="rId11" w:tooltip="https://bo.nalog.ru" w:history="1">
        <w:r>
          <w:rPr>
            <w:rStyle w:val="774"/>
            <w:b w:val="0"/>
            <w:bCs w:val="0"/>
            <w:caps w:val="0"/>
          </w:rPr>
          <w:t xml:space="preserve">https://bo.nalog.ru</w:t>
        </w:r>
      </w:hyperlink>
      <w:r>
        <w:rPr>
          <w:b w:val="0"/>
          <w:bCs w:val="0"/>
          <w:caps w:val="0"/>
        </w:rPr>
        <w:t xml:space="preserve">)</w:t>
      </w:r>
      <w:r>
        <w:rPr>
          <w:b w:val="0"/>
          <w:bCs w:val="0"/>
          <w:caps w:val="0"/>
        </w:rPr>
        <w:t xml:space="preserve">, </w:t>
      </w:r>
      <w:r>
        <w:rPr>
          <w:b w:val="0"/>
          <w:bCs w:val="0"/>
          <w:caps w:val="0"/>
        </w:rPr>
        <w:t xml:space="preserve">он </w:t>
      </w:r>
      <w:r>
        <w:rPr>
          <w:b w:val="0"/>
          <w:bCs w:val="0"/>
          <w:caps w:val="0"/>
        </w:rPr>
        <w:t xml:space="preserve">мо</w:t>
      </w:r>
      <w:r>
        <w:rPr>
          <w:b w:val="0"/>
          <w:bCs w:val="0"/>
          <w:caps w:val="0"/>
        </w:rPr>
        <w:t xml:space="preserve">жет </w:t>
      </w:r>
      <w:r>
        <w:rPr>
          <w:b w:val="0"/>
          <w:bCs w:val="0"/>
          <w:caps w:val="0"/>
        </w:rPr>
        <w:t xml:space="preserve">предоставить </w:t>
      </w:r>
      <w:r>
        <w:rPr>
          <w:b w:val="0"/>
          <w:bCs w:val="0"/>
          <w:caps w:val="0"/>
        </w:rPr>
        <w:t xml:space="preserve">в составе Заявки на аккредитацию (или отдельно в составе заявки на участие в закупке, если ранее при прохождении аккредитации не были представлены)</w:t>
      </w:r>
      <w:r>
        <w:rPr>
          <w:b w:val="0"/>
          <w:bCs w:val="0"/>
          <w:caps w:val="0"/>
        </w:rPr>
        <w:t xml:space="preserve"> </w:t>
      </w:r>
      <w:r>
        <w:rPr>
          <w:b w:val="0"/>
          <w:bCs w:val="0"/>
          <w:caps w:val="0"/>
        </w:rPr>
        <w:t xml:space="preserve">данные для оценки по установленной ниже форме.</w:t>
      </w:r>
      <w:r>
        <w:rPr>
          <w:b w:val="0"/>
          <w:bCs w:val="0"/>
          <w:caps w:val="0"/>
        </w:rPr>
      </w:r>
    </w:p>
    <w:p>
      <w:pPr>
        <w:pStyle w:val="758"/>
        <w:numPr>
          <w:ilvl w:val="0"/>
          <w:numId w:val="0"/>
        </w:numPr>
        <w:ind w:left="1134"/>
        <w:pageBreakBefore w:val="0"/>
        <w:spacing w:after="120"/>
        <w:rPr>
          <w:b w:val="0"/>
          <w:bCs w:val="0"/>
          <w:caps w:val="0"/>
        </w:rPr>
      </w:pPr>
      <w:r>
        <w:rPr>
          <w:b w:val="0"/>
          <w:bCs w:val="0"/>
          <w:caps w:val="0"/>
        </w:rPr>
        <w:t xml:space="preserve">Также должна быть предоставлена электронная копия бухг</w:t>
      </w:r>
      <w:r>
        <w:rPr>
          <w:b w:val="0"/>
          <w:bCs w:val="0"/>
          <w:caps w:val="0"/>
        </w:rPr>
        <w:t xml:space="preserve">алтерской (финансовой) отчетности по формам ОКУД 0503730, 0503721 за последний завершенный и предшествующий ему финансовый год, с отметкой налогового органа о приеме или с приложением квитанции о приеме и (или) извещения о вводе сведений налоговым органом.</w:t>
      </w:r>
      <w:r>
        <w:rPr>
          <w:b w:val="0"/>
          <w:bCs w:val="0"/>
          <w:caps w:val="0"/>
        </w:rPr>
      </w:r>
    </w:p>
    <w:p>
      <w:pPr>
        <w:pStyle w:val="758"/>
        <w:numPr>
          <w:ilvl w:val="0"/>
          <w:numId w:val="0"/>
        </w:numPr>
        <w:ind w:left="1134"/>
        <w:pageBreakBefore w:val="0"/>
        <w:spacing w:after="120"/>
        <w:rPr>
          <w:b w:val="0"/>
          <w:bCs w:val="0"/>
          <w:caps w:val="0"/>
        </w:rPr>
      </w:pPr>
      <w:r>
        <w:rPr>
          <w:bCs w:val="0"/>
          <w:caps w:val="0"/>
        </w:rPr>
        <w:t xml:space="preserve">Указанные документы необходим</w:t>
      </w:r>
      <w:r>
        <w:rPr>
          <w:bCs w:val="0"/>
          <w:caps w:val="0"/>
        </w:rPr>
        <w:t xml:space="preserve">ы</w:t>
      </w:r>
      <w:bookmarkStart w:id="2" w:name="_GoBack"/>
      <w:r/>
      <w:bookmarkEnd w:id="2"/>
      <w:r>
        <w:rPr>
          <w:bCs w:val="0"/>
          <w:caps w:val="0"/>
        </w:rPr>
        <w:t xml:space="preserve"> только для целей оценки и их </w:t>
      </w:r>
      <w:r>
        <w:rPr>
          <w:bCs w:val="0"/>
          <w:caps w:val="0"/>
        </w:rPr>
        <w:t xml:space="preserve">непредоставление</w:t>
      </w:r>
      <w:r>
        <w:rPr>
          <w:bCs w:val="0"/>
          <w:caps w:val="0"/>
        </w:rPr>
        <w:t xml:space="preserve"> не является основанием для отклонения заявки Участника</w:t>
      </w:r>
      <w:r>
        <w:rPr>
          <w:b w:val="0"/>
          <w:bCs w:val="0"/>
          <w:caps w:val="0"/>
        </w:rPr>
        <w:t xml:space="preserve">.</w:t>
      </w:r>
      <w:r>
        <w:rPr>
          <w:b w:val="0"/>
          <w:bCs w:val="0"/>
          <w:caps w:val="0"/>
        </w:rPr>
      </w:r>
    </w:p>
    <w:p>
      <w:pPr>
        <w:pStyle w:val="758"/>
        <w:pageBreakBefore w:val="0"/>
        <w:spacing w:after="120"/>
        <w:rPr>
          <w:b w:val="0"/>
          <w:bCs w:val="0"/>
          <w:caps w:val="0"/>
        </w:rPr>
      </w:pPr>
      <w:r>
        <w:rPr>
          <w:b w:val="0"/>
          <w:bCs w:val="0"/>
          <w:caps w:val="0"/>
        </w:rPr>
        <w:t xml:space="preserve">Участник</w:t>
      </w:r>
      <w:r>
        <w:rPr>
          <w:b w:val="0"/>
          <w:bCs w:val="0"/>
          <w:caps w:val="0"/>
        </w:rPr>
        <w:t xml:space="preserve"> </w:t>
      </w:r>
      <w:r>
        <w:rPr>
          <w:b w:val="0"/>
          <w:bCs w:val="0"/>
          <w:caps w:val="0"/>
        </w:rPr>
        <w:t xml:space="preserve">заполняет столбцы 3 и 4 формы сведениями о размере всех требуемых показателей, по данным, содержащимся в предоставленных бухгалтерских (финансовых) отчетностях за последний завершенный и предшествующий ему финансовый годы.</w:t>
      </w:r>
      <w:r>
        <w:rPr>
          <w:b w:val="0"/>
          <w:bCs w:val="0"/>
          <w:caps w:val="0"/>
        </w:rPr>
      </w:r>
    </w:p>
    <w:p>
      <w:pPr>
        <w:pStyle w:val="758"/>
        <w:pageBreakBefore w:val="0"/>
        <w:spacing w:after="120"/>
        <w:rPr>
          <w:b w:val="0"/>
          <w:bCs w:val="0"/>
          <w:caps w:val="0"/>
        </w:rPr>
      </w:pPr>
      <w:r>
        <w:rPr>
          <w:b w:val="0"/>
          <w:bCs w:val="0"/>
          <w:caps w:val="0"/>
        </w:rPr>
        <w:t xml:space="preserve">Данные бухгалтерской (финансовой) отчетности должны быть заверены подписями руководителя (лица, подписавшего заявку) и главного бухгалтера и скреплена печатью Участника (при наличии таковой).</w:t>
      </w:r>
      <w:r>
        <w:rPr>
          <w:b w:val="0"/>
          <w:bCs w:val="0"/>
          <w:caps w:val="0"/>
        </w:rPr>
      </w:r>
    </w:p>
    <w:p>
      <w:pPr>
        <w:pStyle w:val="758"/>
        <w:pageBreakBefore w:val="0"/>
        <w:spacing w:after="120"/>
        <w:rPr>
          <w:b w:val="0"/>
          <w:bCs w:val="0"/>
          <w:caps w:val="0"/>
        </w:rPr>
      </w:pPr>
      <w:r>
        <w:rPr>
          <w:b w:val="0"/>
          <w:bCs w:val="0"/>
          <w:caps w:val="0"/>
        </w:rPr>
        <w:t xml:space="preserve">Форма Данных бухгалтерской (финансовой) отчетности:</w:t>
      </w:r>
      <w:r>
        <w:rPr>
          <w:b w:val="0"/>
          <w:bCs w:val="0"/>
          <w:caps w:val="0"/>
        </w:rPr>
      </w:r>
    </w:p>
    <w:p>
      <w:pPr>
        <w:pStyle w:val="760"/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76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763"/>
        <w:jc w:val="center"/>
        <w:pageBreakBefore w:val="0"/>
        <w:spacing w:before="360"/>
        <w:outlineLvl w:val="3"/>
      </w:pPr>
      <w:r>
        <w:t xml:space="preserve">Данные бухгалтерской (финансовой) отчетности</w:t>
      </w:r>
      <w:r/>
    </w:p>
    <w:p>
      <w:pPr>
        <w:pStyle w:val="764"/>
        <w:tabs>
          <w:tab w:val="right" w:pos="9922" w:leader="none"/>
        </w:tabs>
      </w:pPr>
      <w:r>
        <w:t xml:space="preserve">Наименование Участника:</w:t>
      </w:r>
      <w:r>
        <w:tab/>
        <w:t xml:space="preserve">________________________________________.</w:t>
      </w:r>
      <w:r/>
    </w:p>
    <w:p>
      <w:pPr>
        <w:pStyle w:val="764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764"/>
        <w:ind w:left="4678" w:hanging="4678"/>
        <w:spacing w:after="240"/>
        <w:tabs>
          <w:tab w:val="right" w:pos="9922" w:leader="none"/>
        </w:tabs>
      </w:pPr>
      <w:r>
        <w:t xml:space="preserve">Единица измерений:</w:t>
      </w:r>
      <w:r>
        <w:tab/>
        <w:t xml:space="preserve">___________________________________ </w:t>
      </w:r>
      <w:r>
        <w:rPr>
          <w:rStyle w:val="795"/>
        </w:rPr>
        <w:t xml:space="preserve">[Участник указывает «тыс. руб.» или «млн. руб.»]</w:t>
      </w:r>
      <w:r>
        <w:t xml:space="preserve">.</w:t>
      </w:r>
      <w:r/>
    </w:p>
    <w:tbl>
      <w:tblPr>
        <w:tblStyle w:val="785"/>
        <w:tblW w:w="15163" w:type="dxa"/>
        <w:tblLook w:val="04A0" w:firstRow="1" w:lastRow="0" w:firstColumn="1" w:lastColumn="0" w:noHBand="0" w:noVBand="1"/>
      </w:tblPr>
      <w:tblGrid>
        <w:gridCol w:w="4673"/>
        <w:gridCol w:w="3496"/>
        <w:gridCol w:w="3497"/>
        <w:gridCol w:w="3497"/>
      </w:tblGrid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Наименование показателя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sz w:val="22"/>
              </w:rPr>
              <w:t xml:space="preserve">(в соответствии с формой бухгалтерского баланса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(форма по ОКУД 0710001) 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формой отчета о финансовых результатах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(форма по ОКУД 0710002))</w:t>
            </w:r>
            <w:r>
              <w:rPr>
                <w:bCs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Код строки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по формам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ОКУД 0710001 /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ОКУД 0710002</w:t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По состоянию на отчетную дату последнего отчетного периода: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31.12.20__ г.</w:t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По состоянию на отчетную дату отчетного периода, предшествующего последнему отчетному периоду: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31.12.20__ г.</w:t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center"/>
              <w:keepNext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 xml:space="preserve">1</w:t>
            </w:r>
            <w:r>
              <w:rPr>
                <w:bCs/>
                <w:i/>
                <w:iCs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center"/>
              <w:keepNext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 xml:space="preserve">2</w:t>
            </w:r>
            <w:r>
              <w:rPr>
                <w:bCs/>
                <w:i/>
                <w:i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center"/>
              <w:keepNext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 xml:space="preserve">3</w:t>
            </w:r>
            <w:r>
              <w:rPr>
                <w:bCs/>
                <w:i/>
                <w:i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center"/>
              <w:keepNext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 xml:space="preserve">4</w:t>
            </w:r>
            <w:r>
              <w:rPr>
                <w:bCs/>
                <w:i/>
                <w:iCs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I. </w:t>
            </w:r>
            <w:r>
              <w:rPr>
                <w:b/>
                <w:sz w:val="22"/>
              </w:rPr>
              <w:t xml:space="preserve">Внеоборотные</w:t>
            </w:r>
            <w:r>
              <w:rPr>
                <w:b/>
                <w:sz w:val="22"/>
              </w:rPr>
              <w:t xml:space="preserve"> активы</w:t>
            </w:r>
            <w:r>
              <w:rPr>
                <w:b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center"/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Основные средства</w:t>
            </w:r>
            <w:r>
              <w:rPr>
                <w:bCs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1150</w:t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Итого по разделу I</w:t>
            </w:r>
            <w:r>
              <w:rPr>
                <w:bCs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1100</w:t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II. Оборотные активы</w:t>
            </w:r>
            <w:r>
              <w:rPr>
                <w:b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left"/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left"/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left"/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Дебиторская задолженность</w:t>
            </w:r>
            <w:r>
              <w:rPr>
                <w:bCs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1230</w:t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Финансовые вложения (за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исключением денежных эквивалентов)</w:t>
            </w:r>
            <w:r>
              <w:rPr>
                <w:bCs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1240</w:t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Денежные средства и денежные эквиваленты</w:t>
            </w:r>
            <w:r>
              <w:rPr>
                <w:bCs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1250</w:t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Баланс (актив)</w:t>
            </w:r>
            <w:r>
              <w:rPr>
                <w:bCs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1600</w:t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III. Капитал и резервы</w:t>
            </w:r>
            <w:r>
              <w:rPr>
                <w:b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left"/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left"/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left"/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Итого по разделу III</w:t>
            </w:r>
            <w:r>
              <w:rPr>
                <w:bCs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1300</w:t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IV. Долгосрочные обязательства</w:t>
            </w:r>
            <w:r>
              <w:rPr>
                <w:bCs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Заемные средства</w:t>
            </w:r>
            <w:r>
              <w:rPr>
                <w:bCs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1410</w:t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Итого по разделу IV</w:t>
            </w:r>
            <w:r>
              <w:rPr>
                <w:bCs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1400</w:t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V. Краткосрочные обязательства</w:t>
            </w:r>
            <w:r>
              <w:rPr>
                <w:b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left"/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left"/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left"/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Заемные средства</w:t>
            </w:r>
            <w:r>
              <w:rPr>
                <w:bCs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1510</w:t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Кредиторская задолженность</w:t>
            </w:r>
            <w:r>
              <w:rPr>
                <w:bCs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1520</w:t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Итого по разделу V</w:t>
            </w:r>
            <w:r>
              <w:rPr>
                <w:bCs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1500</w:t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Баланс (пассив)</w:t>
            </w:r>
            <w:r>
              <w:rPr>
                <w:bCs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1700</w:t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Отчет о финансовых результатах</w:t>
            </w:r>
            <w:r>
              <w:rPr>
                <w:b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left"/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left"/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left"/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Выручка</w:t>
            </w:r>
            <w:r>
              <w:rPr>
                <w:bCs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2110</w:t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Проценты к уплате</w:t>
            </w:r>
            <w:r>
              <w:rPr>
                <w:bCs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2330</w:t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pStyle w:val="76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Прибыль (убыток) до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налогообложения</w:t>
            </w:r>
            <w:r>
              <w:rPr>
                <w:bCs/>
                <w:sz w:val="22"/>
              </w:rPr>
            </w:r>
          </w:p>
        </w:tc>
        <w:tc>
          <w:tcPr>
            <w:tcW w:w="3496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2300</w:t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497" w:type="dxa"/>
            <w:textDirection w:val="lrTb"/>
            <w:noWrap w:val="false"/>
          </w:tcPr>
          <w:p>
            <w:pPr>
              <w:pStyle w:val="76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764"/>
      </w:pPr>
      <w:r/>
      <w:r/>
    </w:p>
    <w:tbl>
      <w:tblPr>
        <w:tblStyle w:val="78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764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Главный бухгалтер</w:t>
            </w:r>
            <w:r>
              <w:rPr>
                <w:b w:val="0"/>
                <w:bCs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764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764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764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764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76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76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76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76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76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764"/>
              <w:jc w:val="left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764"/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764"/>
              <w:jc w:val="left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76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76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76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76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76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76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bookmarkEnd w:id="0"/>
      <w:r/>
      <w:bookmarkEnd w:id="1"/>
      <w:r>
        <w:rPr>
          <w:i/>
          <w:iCs/>
        </w:rPr>
      </w:r>
    </w:p>
    <w:p>
      <w:pPr>
        <w:tabs>
          <w:tab w:val="left" w:pos="8548" w:leader="none"/>
        </w:tabs>
      </w:pPr>
      <w:r/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767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pStyle w:val="758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759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760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761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762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9"/>
  </w:num>
  <w:num w:numId="2">
    <w:abstractNumId w:val="36"/>
  </w:num>
  <w:num w:numId="3">
    <w:abstractNumId w:val="5"/>
  </w:num>
  <w:num w:numId="4">
    <w:abstractNumId w:val="34"/>
  </w:num>
  <w:num w:numId="5">
    <w:abstractNumId w:val="9"/>
  </w:num>
  <w:num w:numId="6">
    <w:abstractNumId w:val="4"/>
  </w:num>
  <w:num w:numId="7">
    <w:abstractNumId w:val="21"/>
  </w:num>
  <w:num w:numId="8">
    <w:abstractNumId w:val="11"/>
  </w:num>
  <w:num w:numId="9">
    <w:abstractNumId w:val="32"/>
  </w:num>
  <w:num w:numId="10">
    <w:abstractNumId w:val="3"/>
  </w:num>
  <w:num w:numId="11">
    <w:abstractNumId w:val="25"/>
  </w:num>
  <w:num w:numId="12">
    <w:abstractNumId w:val="31"/>
  </w:num>
  <w:num w:numId="13">
    <w:abstractNumId w:val="6"/>
  </w:num>
  <w:num w:numId="14">
    <w:abstractNumId w:val="27"/>
  </w:num>
  <w:num w:numId="15">
    <w:abstractNumId w:val="33"/>
  </w:num>
  <w:num w:numId="16">
    <w:abstractNumId w:val="17"/>
  </w:num>
  <w:num w:numId="17">
    <w:abstractNumId w:val="22"/>
  </w:num>
  <w:num w:numId="18">
    <w:abstractNumId w:val="16"/>
  </w:num>
  <w:num w:numId="19">
    <w:abstractNumId w:val="1"/>
  </w:num>
  <w:num w:numId="20">
    <w:abstractNumId w:val="29"/>
  </w:num>
  <w:num w:numId="21">
    <w:abstractNumId w:val="13"/>
  </w:num>
  <w:num w:numId="22">
    <w:abstractNumId w:val="8"/>
  </w:num>
  <w:num w:numId="23">
    <w:abstractNumId w:val="19"/>
  </w:num>
  <w:num w:numId="24">
    <w:abstractNumId w:val="7"/>
  </w:num>
  <w:num w:numId="25">
    <w:abstractNumId w:val="20"/>
  </w:num>
  <w:num w:numId="26">
    <w:abstractNumId w:val="2"/>
  </w:num>
  <w:num w:numId="27">
    <w:abstractNumId w:val="28"/>
  </w:num>
  <w:num w:numId="28">
    <w:abstractNumId w:val="26"/>
  </w:num>
  <w:num w:numId="29">
    <w:abstractNumId w:val="14"/>
  </w:num>
  <w:num w:numId="30">
    <w:abstractNumId w:val="10"/>
  </w:num>
  <w:num w:numId="31">
    <w:abstractNumId w:val="30"/>
  </w:num>
  <w:num w:numId="32">
    <w:abstractNumId w:val="23"/>
  </w:num>
  <w:num w:numId="33">
    <w:abstractNumId w:val="24"/>
  </w:num>
  <w:num w:numId="34">
    <w:abstractNumId w:val="0"/>
  </w:num>
  <w:num w:numId="35">
    <w:abstractNumId w:val="18"/>
  </w:num>
  <w:num w:numId="36">
    <w:abstractNumId w:val="35"/>
  </w:num>
  <w:num w:numId="37">
    <w:abstractNumId w:val="15"/>
  </w:num>
  <w:num w:numId="38">
    <w:abstractNumId w:val="12"/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9"/>
  </w:num>
  <w:num w:numId="42">
    <w:abstractNumId w:val="19"/>
  </w:num>
  <w:num w:numId="43">
    <w:abstractNumId w:val="19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54"/>
    <w:next w:val="754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55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54"/>
    <w:next w:val="754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55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54"/>
    <w:next w:val="754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55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54"/>
    <w:next w:val="754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55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54"/>
    <w:next w:val="754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55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54"/>
    <w:next w:val="754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55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54"/>
    <w:next w:val="754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55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54"/>
    <w:next w:val="754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55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54"/>
    <w:next w:val="754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55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754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54"/>
    <w:next w:val="754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55"/>
    <w:link w:val="34"/>
    <w:uiPriority w:val="10"/>
    <w:rPr>
      <w:sz w:val="48"/>
      <w:szCs w:val="48"/>
    </w:rPr>
  </w:style>
  <w:style w:type="paragraph" w:styleId="36">
    <w:name w:val="Subtitle"/>
    <w:basedOn w:val="754"/>
    <w:next w:val="754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55"/>
    <w:link w:val="36"/>
    <w:uiPriority w:val="11"/>
    <w:rPr>
      <w:sz w:val="24"/>
      <w:szCs w:val="24"/>
    </w:rPr>
  </w:style>
  <w:style w:type="paragraph" w:styleId="38">
    <w:name w:val="Quote"/>
    <w:basedOn w:val="754"/>
    <w:next w:val="754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54"/>
    <w:next w:val="754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55"/>
    <w:link w:val="765"/>
    <w:uiPriority w:val="99"/>
  </w:style>
  <w:style w:type="character" w:styleId="45">
    <w:name w:val="Footer Char"/>
    <w:basedOn w:val="755"/>
    <w:link w:val="767"/>
    <w:uiPriority w:val="99"/>
  </w:style>
  <w:style w:type="paragraph" w:styleId="46">
    <w:name w:val="Caption"/>
    <w:basedOn w:val="754"/>
    <w:next w:val="754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755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7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70"/>
    <w:uiPriority w:val="99"/>
    <w:rPr>
      <w:sz w:val="18"/>
    </w:rPr>
  </w:style>
  <w:style w:type="paragraph" w:styleId="178">
    <w:name w:val="endnote text"/>
    <w:basedOn w:val="754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55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754"/>
    <w:next w:val="754"/>
    <w:uiPriority w:val="99"/>
    <w:unhideWhenUsed/>
    <w:pPr>
      <w:spacing w:after="0" w:afterAutospacing="0"/>
    </w:pPr>
  </w:style>
  <w:style w:type="paragraph" w:styleId="754" w:default="1">
    <w:name w:val="Normal"/>
    <w:qFormat/>
  </w:style>
  <w:style w:type="character" w:styleId="755" w:default="1">
    <w:name w:val="Default Paragraph Font"/>
    <w:uiPriority w:val="1"/>
    <w:semiHidden/>
    <w:unhideWhenUsed/>
  </w:style>
  <w:style w:type="table" w:styleId="7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7" w:default="1">
    <w:name w:val="No List"/>
    <w:uiPriority w:val="99"/>
    <w:semiHidden/>
    <w:unhideWhenUsed/>
  </w:style>
  <w:style w:type="paragraph" w:styleId="758" w:customStyle="1">
    <w:name w:val="[РГ] Раздел"/>
    <w:basedOn w:val="754"/>
    <w:next w:val="759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759" w:customStyle="1">
    <w:name w:val="[РГ] Подраздел"/>
    <w:basedOn w:val="754"/>
    <w:next w:val="760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760" w:customStyle="1">
    <w:name w:val="[РГ] Пункт"/>
    <w:basedOn w:val="754"/>
    <w:qFormat/>
    <w:pPr>
      <w:numPr>
        <w:ilvl w:val="2"/>
        <w:numId w:val="1"/>
      </w:numPr>
      <w:jc w:val="both"/>
      <w:outlineLvl w:val="2"/>
    </w:pPr>
  </w:style>
  <w:style w:type="paragraph" w:styleId="761" w:customStyle="1">
    <w:name w:val="[РГ] Подпункт"/>
    <w:basedOn w:val="754"/>
    <w:qFormat/>
    <w:pPr>
      <w:numPr>
        <w:ilvl w:val="3"/>
        <w:numId w:val="1"/>
      </w:numPr>
      <w:jc w:val="both"/>
      <w:outlineLvl w:val="3"/>
    </w:pPr>
  </w:style>
  <w:style w:type="paragraph" w:styleId="762" w:customStyle="1">
    <w:name w:val="[РГ] Перечисление"/>
    <w:basedOn w:val="754"/>
    <w:qFormat/>
    <w:pPr>
      <w:numPr>
        <w:ilvl w:val="4"/>
        <w:numId w:val="1"/>
      </w:numPr>
      <w:jc w:val="both"/>
      <w:outlineLvl w:val="4"/>
    </w:pPr>
  </w:style>
  <w:style w:type="paragraph" w:styleId="763" w:customStyle="1">
    <w:name w:val="[РГ] Заголовок"/>
    <w:basedOn w:val="754"/>
    <w:next w:val="764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764" w:customStyle="1">
    <w:name w:val="[РГ] Текст"/>
    <w:basedOn w:val="754"/>
    <w:qFormat/>
    <w:pPr>
      <w:jc w:val="both"/>
    </w:pPr>
  </w:style>
  <w:style w:type="paragraph" w:styleId="765">
    <w:name w:val="Header"/>
    <w:basedOn w:val="754"/>
    <w:link w:val="766"/>
    <w:uiPriority w:val="99"/>
    <w:unhideWhenUsed/>
    <w:pPr>
      <w:jc w:val="center"/>
      <w:spacing w:before="0" w:after="120"/>
    </w:pPr>
  </w:style>
  <w:style w:type="character" w:styleId="766" w:customStyle="1">
    <w:name w:val="Верхний колонтитул Знак"/>
    <w:basedOn w:val="755"/>
    <w:link w:val="765"/>
    <w:uiPriority w:val="99"/>
  </w:style>
  <w:style w:type="paragraph" w:styleId="767">
    <w:name w:val="Footer"/>
    <w:basedOn w:val="754"/>
    <w:link w:val="768"/>
    <w:uiPriority w:val="99"/>
    <w:unhideWhenUsed/>
    <w:pPr>
      <w:jc w:val="right"/>
    </w:pPr>
  </w:style>
  <w:style w:type="character" w:styleId="768" w:customStyle="1">
    <w:name w:val="Нижний колонтитул Знак"/>
    <w:basedOn w:val="755"/>
    <w:link w:val="767"/>
    <w:uiPriority w:val="99"/>
  </w:style>
  <w:style w:type="character" w:styleId="769" w:customStyle="1">
    <w:name w:val="[РГ] Инструкция для организатора"/>
    <w:basedOn w:val="755"/>
    <w:uiPriority w:val="1"/>
    <w:qFormat/>
    <w:rPr>
      <w:i/>
      <w:iCs/>
      <w:shd w:val="clear" w:color="auto" w:fill="ffff99"/>
      <w:lang w:val="ru-RU"/>
    </w:rPr>
  </w:style>
  <w:style w:type="paragraph" w:styleId="770">
    <w:name w:val="footnote text"/>
    <w:basedOn w:val="754"/>
    <w:link w:val="771"/>
    <w:uiPriority w:val="99"/>
    <w:semiHidden/>
    <w:unhideWhenUsed/>
    <w:pPr>
      <w:spacing w:before="0"/>
    </w:pPr>
    <w:rPr>
      <w:sz w:val="20"/>
      <w:szCs w:val="20"/>
    </w:rPr>
  </w:style>
  <w:style w:type="character" w:styleId="771" w:customStyle="1">
    <w:name w:val="Текст сноски Знак"/>
    <w:basedOn w:val="755"/>
    <w:link w:val="770"/>
    <w:uiPriority w:val="99"/>
    <w:semiHidden/>
    <w:rPr>
      <w:sz w:val="20"/>
      <w:szCs w:val="20"/>
    </w:rPr>
  </w:style>
  <w:style w:type="character" w:styleId="772">
    <w:name w:val="footnote reference"/>
    <w:basedOn w:val="755"/>
    <w:uiPriority w:val="99"/>
    <w:semiHidden/>
    <w:unhideWhenUsed/>
    <w:rPr>
      <w:vertAlign w:val="superscript"/>
    </w:rPr>
  </w:style>
  <w:style w:type="paragraph" w:styleId="773" w:customStyle="1">
    <w:name w:val="[РГ] Сноска"/>
    <w:basedOn w:val="770"/>
    <w:qFormat/>
    <w:pPr>
      <w:ind w:left="567" w:hanging="567"/>
      <w:jc w:val="both"/>
      <w:spacing w:before="80"/>
    </w:pPr>
    <w:rPr>
      <w:sz w:val="22"/>
    </w:rPr>
  </w:style>
  <w:style w:type="character" w:styleId="774">
    <w:name w:val="Hyperlink"/>
    <w:basedOn w:val="755"/>
    <w:uiPriority w:val="99"/>
    <w:unhideWhenUsed/>
    <w:rPr>
      <w:color w:val="0563c1" w:themeColor="hyperlink"/>
      <w:u w:val="single"/>
    </w:rPr>
  </w:style>
  <w:style w:type="character" w:styleId="775" w:customStyle="1">
    <w:name w:val="Unresolved Mention"/>
    <w:basedOn w:val="755"/>
    <w:uiPriority w:val="99"/>
    <w:semiHidden/>
    <w:unhideWhenUsed/>
    <w:rPr>
      <w:color w:val="605e5c"/>
      <w:shd w:val="clear" w:color="auto" w:fill="e1dfdd"/>
    </w:rPr>
  </w:style>
  <w:style w:type="paragraph" w:styleId="776">
    <w:name w:val="toc 2"/>
    <w:basedOn w:val="754"/>
    <w:next w:val="754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777">
    <w:name w:val="toc 1"/>
    <w:basedOn w:val="754"/>
    <w:next w:val="754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778">
    <w:name w:val="toc 3"/>
    <w:basedOn w:val="754"/>
    <w:next w:val="754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779">
    <w:name w:val="toc 4"/>
    <w:basedOn w:val="754"/>
    <w:next w:val="754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780">
    <w:name w:val="toc 5"/>
    <w:basedOn w:val="754"/>
    <w:next w:val="754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781">
    <w:name w:val="toc 6"/>
    <w:basedOn w:val="754"/>
    <w:next w:val="754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782">
    <w:name w:val="toc 7"/>
    <w:basedOn w:val="754"/>
    <w:next w:val="754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783">
    <w:name w:val="toc 8"/>
    <w:basedOn w:val="754"/>
    <w:next w:val="754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784">
    <w:name w:val="toc 9"/>
    <w:basedOn w:val="754"/>
    <w:next w:val="754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785" w:customStyle="1">
    <w:name w:val="[РГ] Таблица"/>
    <w:basedOn w:val="756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786">
    <w:name w:val="Table Grid"/>
    <w:basedOn w:val="756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787">
    <w:name w:val="Placeholder Text"/>
    <w:basedOn w:val="755"/>
    <w:uiPriority w:val="99"/>
    <w:semiHidden/>
    <w:rPr>
      <w:color w:val="808080"/>
    </w:rPr>
  </w:style>
  <w:style w:type="character" w:styleId="788" w:customStyle="1">
    <w:name w:val="[РГ] Отсылка"/>
    <w:basedOn w:val="755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789">
    <w:name w:val="annotation reference"/>
    <w:basedOn w:val="755"/>
    <w:uiPriority w:val="99"/>
    <w:semiHidden/>
    <w:unhideWhenUsed/>
    <w:rPr>
      <w:sz w:val="16"/>
      <w:szCs w:val="16"/>
    </w:rPr>
  </w:style>
  <w:style w:type="paragraph" w:styleId="790">
    <w:name w:val="annotation text"/>
    <w:basedOn w:val="754"/>
    <w:link w:val="791"/>
    <w:uiPriority w:val="99"/>
    <w:unhideWhenUsed/>
    <w:rPr>
      <w:sz w:val="20"/>
      <w:szCs w:val="20"/>
    </w:rPr>
  </w:style>
  <w:style w:type="character" w:styleId="791" w:customStyle="1">
    <w:name w:val="Текст примечания Знак"/>
    <w:basedOn w:val="755"/>
    <w:link w:val="790"/>
    <w:uiPriority w:val="99"/>
    <w:rPr>
      <w:sz w:val="20"/>
      <w:szCs w:val="20"/>
    </w:rPr>
  </w:style>
  <w:style w:type="paragraph" w:styleId="792">
    <w:name w:val="annotation subject"/>
    <w:basedOn w:val="790"/>
    <w:next w:val="790"/>
    <w:link w:val="793"/>
    <w:uiPriority w:val="99"/>
    <w:semiHidden/>
    <w:unhideWhenUsed/>
    <w:rPr>
      <w:b/>
      <w:bCs/>
    </w:rPr>
  </w:style>
  <w:style w:type="character" w:styleId="793" w:customStyle="1">
    <w:name w:val="Тема примечания Знак"/>
    <w:basedOn w:val="791"/>
    <w:link w:val="792"/>
    <w:uiPriority w:val="99"/>
    <w:semiHidden/>
    <w:rPr>
      <w:b/>
      <w:bCs/>
      <w:sz w:val="20"/>
      <w:szCs w:val="20"/>
    </w:rPr>
  </w:style>
  <w:style w:type="paragraph" w:styleId="794" w:customStyle="1">
    <w:name w:val="[РГ] Альтернатива / Дополнение"/>
    <w:basedOn w:val="764"/>
    <w:next w:val="764"/>
    <w:qFormat/>
    <w:rPr>
      <w:i/>
      <w:shd w:val="clear" w:color="auto" w:fill="ccecff"/>
    </w:rPr>
  </w:style>
  <w:style w:type="character" w:styleId="795" w:customStyle="1">
    <w:name w:val="[РГ] Инструкция для участника"/>
    <w:basedOn w:val="755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796">
    <w:name w:val="FollowedHyperlink"/>
    <w:basedOn w:val="755"/>
    <w:uiPriority w:val="99"/>
    <w:semiHidden/>
    <w:unhideWhenUsed/>
    <w:rPr>
      <w:color w:val="954f72" w:themeColor="followedHyperlink"/>
      <w:u w:val="single"/>
    </w:rPr>
  </w:style>
  <w:style w:type="paragraph" w:styleId="797">
    <w:name w:val="Revision"/>
    <w:hidden/>
    <w:uiPriority w:val="99"/>
    <w:semiHidden/>
    <w:pPr>
      <w:spacing w:before="0"/>
    </w:pPr>
  </w:style>
  <w:style w:type="paragraph" w:styleId="798">
    <w:name w:val="Balloon Text"/>
    <w:basedOn w:val="754"/>
    <w:link w:val="799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799" w:customStyle="1">
    <w:name w:val="Текст выноски Знак"/>
    <w:basedOn w:val="755"/>
    <w:link w:val="798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bo.nalog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035C2-367D-4F5A-BF72-F637BDA6F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nikitina_nv</cp:lastModifiedBy>
  <cp:revision>6</cp:revision>
  <dcterms:created xsi:type="dcterms:W3CDTF">2026-04-09T04:36:00Z</dcterms:created>
  <dcterms:modified xsi:type="dcterms:W3CDTF">2026-07-08T23:04:24Z</dcterms:modified>
</cp:coreProperties>
</file>